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附件1-1</w:t>
      </w:r>
    </w:p>
    <w:tbl>
      <w:tblPr>
        <w:tblStyle w:val="3"/>
        <w:tblW w:w="8928" w:type="dxa"/>
        <w:jc w:val="center"/>
        <w:tblLayout w:type="fixed"/>
        <w:tblCellMar>
          <w:top w:w="0" w:type="dxa"/>
          <w:left w:w="108" w:type="dxa"/>
          <w:bottom w:w="0" w:type="dxa"/>
          <w:right w:w="108" w:type="dxa"/>
        </w:tblCellMar>
      </w:tblPr>
      <w:tblGrid>
        <w:gridCol w:w="578"/>
        <w:gridCol w:w="781"/>
        <w:gridCol w:w="1118"/>
        <w:gridCol w:w="742"/>
        <w:gridCol w:w="1066"/>
        <w:gridCol w:w="1059"/>
        <w:gridCol w:w="1076"/>
        <w:gridCol w:w="202"/>
        <w:gridCol w:w="355"/>
        <w:gridCol w:w="416"/>
        <w:gridCol w:w="289"/>
        <w:gridCol w:w="547"/>
        <w:gridCol w:w="699"/>
      </w:tblGrid>
      <w:tr>
        <w:tblPrEx>
          <w:tblCellMar>
            <w:top w:w="0" w:type="dxa"/>
            <w:left w:w="108" w:type="dxa"/>
            <w:bottom w:w="0" w:type="dxa"/>
            <w:right w:w="108" w:type="dxa"/>
          </w:tblCellMar>
        </w:tblPrEx>
        <w:trPr>
          <w:trHeight w:val="440" w:hRule="exact"/>
          <w:jc w:val="center"/>
        </w:trPr>
        <w:tc>
          <w:tcPr>
            <w:tcW w:w="8928" w:type="dxa"/>
            <w:gridSpan w:val="13"/>
            <w:tcBorders>
              <w:top w:val="nil"/>
              <w:left w:val="nil"/>
              <w:bottom w:val="nil"/>
              <w:right w:val="nil"/>
            </w:tcBorders>
            <w:vAlign w:val="center"/>
          </w:tcPr>
          <w:p>
            <w:pPr>
              <w:widowControl/>
              <w:spacing w:line="50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3"/>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  202</w:t>
            </w:r>
            <w:r>
              <w:rPr>
                <w:rFonts w:hint="eastAsia" w:ascii="宋体" w:hAnsi="宋体" w:cs="宋体"/>
                <w:kern w:val="0"/>
                <w:sz w:val="22"/>
                <w:lang w:val="en-US" w:eastAsia="zh-CN"/>
              </w:rPr>
              <w:t>2</w:t>
            </w:r>
            <w:r>
              <w:rPr>
                <w:rFonts w:hint="eastAsia" w:ascii="宋体" w:hAnsi="宋体" w:cs="宋体"/>
                <w:kern w:val="0"/>
                <w:sz w:val="22"/>
              </w:rPr>
              <w:t xml:space="preserve"> 年度）</w:t>
            </w:r>
          </w:p>
        </w:tc>
      </w:tr>
      <w:tr>
        <w:tblPrEx>
          <w:tblCellMar>
            <w:top w:w="0" w:type="dxa"/>
            <w:left w:w="108" w:type="dxa"/>
            <w:bottom w:w="0" w:type="dxa"/>
            <w:right w:w="108" w:type="dxa"/>
          </w:tblCellMar>
        </w:tblPrEx>
        <w:trPr>
          <w:trHeight w:val="291" w:hRule="exact"/>
          <w:jc w:val="center"/>
        </w:trPr>
        <w:tc>
          <w:tcPr>
            <w:tcW w:w="135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569" w:type="dxa"/>
            <w:gridSpan w:val="11"/>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上年结转—北京市河长制补助资金项目</w:t>
            </w:r>
          </w:p>
        </w:tc>
      </w:tr>
      <w:tr>
        <w:tblPrEx>
          <w:tblCellMar>
            <w:top w:w="0" w:type="dxa"/>
            <w:left w:w="108" w:type="dxa"/>
            <w:bottom w:w="0" w:type="dxa"/>
            <w:right w:w="108" w:type="dxa"/>
          </w:tblCellMar>
        </w:tblPrEx>
        <w:trPr>
          <w:trHeight w:val="291" w:hRule="exact"/>
          <w:jc w:val="center"/>
        </w:trPr>
        <w:tc>
          <w:tcPr>
            <w:tcW w:w="135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398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通州区水务局</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实施单位</w:t>
            </w:r>
          </w:p>
        </w:tc>
        <w:tc>
          <w:tcPr>
            <w:tcW w:w="230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北京市通州区</w:t>
            </w:r>
            <w:r>
              <w:rPr>
                <w:rFonts w:hint="eastAsia" w:ascii="宋体" w:hAnsi="宋体" w:cs="宋体"/>
                <w:kern w:val="0"/>
                <w:sz w:val="18"/>
                <w:szCs w:val="18"/>
                <w:lang w:val="en-US" w:eastAsia="zh-CN"/>
              </w:rPr>
              <w:t>宋庄镇</w:t>
            </w:r>
            <w:r>
              <w:rPr>
                <w:rFonts w:hint="eastAsia" w:ascii="宋体" w:hAnsi="宋体" w:cs="宋体"/>
                <w:kern w:val="0"/>
                <w:sz w:val="18"/>
                <w:szCs w:val="18"/>
              </w:rPr>
              <w:t>水务所</w:t>
            </w:r>
          </w:p>
        </w:tc>
      </w:tr>
      <w:tr>
        <w:tblPrEx>
          <w:tblCellMar>
            <w:top w:w="0" w:type="dxa"/>
            <w:left w:w="108" w:type="dxa"/>
            <w:bottom w:w="0" w:type="dxa"/>
            <w:right w:w="108" w:type="dxa"/>
          </w:tblCellMar>
        </w:tblPrEx>
        <w:trPr>
          <w:trHeight w:val="291" w:hRule="exact"/>
          <w:jc w:val="center"/>
        </w:trPr>
        <w:tc>
          <w:tcPr>
            <w:tcW w:w="135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3985"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eastAsia="zh-CN"/>
              </w:rPr>
            </w:pPr>
            <w:r>
              <w:rPr>
                <w:rFonts w:hint="eastAsia" w:ascii="宋体" w:hAnsi="宋体" w:cs="宋体"/>
                <w:kern w:val="0"/>
                <w:sz w:val="18"/>
                <w:szCs w:val="18"/>
                <w:lang w:val="en-US" w:eastAsia="zh-CN"/>
              </w:rPr>
              <w:t>田浩春</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联系电话</w:t>
            </w:r>
          </w:p>
        </w:tc>
        <w:tc>
          <w:tcPr>
            <w:tcW w:w="230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69596603</w:t>
            </w:r>
          </w:p>
        </w:tc>
      </w:tr>
      <w:tr>
        <w:tblPrEx>
          <w:tblCellMar>
            <w:top w:w="0" w:type="dxa"/>
            <w:left w:w="108" w:type="dxa"/>
            <w:bottom w:w="0" w:type="dxa"/>
            <w:right w:w="108" w:type="dxa"/>
          </w:tblCellMar>
        </w:tblPrEx>
        <w:trPr>
          <w:trHeight w:val="559" w:hRule="exact"/>
          <w:jc w:val="center"/>
        </w:trPr>
        <w:tc>
          <w:tcPr>
            <w:tcW w:w="135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宋体" w:hAnsi="宋体" w:cs="宋体"/>
                <w:kern w:val="0"/>
                <w:sz w:val="18"/>
                <w:szCs w:val="18"/>
              </w:rPr>
            </w:pPr>
            <w:r>
              <w:rPr>
                <w:rFonts w:hint="eastAsia" w:ascii="宋体" w:hAnsi="宋体" w:cs="宋体"/>
                <w:kern w:val="0"/>
                <w:sz w:val="18"/>
                <w:szCs w:val="18"/>
              </w:rPr>
              <w:t>项目资金（万元）</w:t>
            </w:r>
          </w:p>
        </w:tc>
        <w:tc>
          <w:tcPr>
            <w:tcW w:w="18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066"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年初     预算数</w:t>
            </w:r>
          </w:p>
        </w:tc>
        <w:tc>
          <w:tcPr>
            <w:tcW w:w="1059" w:type="dxa"/>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     预算数</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全年</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执行数</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年度资金总额</w:t>
            </w:r>
          </w:p>
        </w:tc>
        <w:tc>
          <w:tcPr>
            <w:tcW w:w="106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105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100%</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1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其中：当年财政拨款</w:t>
            </w:r>
          </w:p>
        </w:tc>
        <w:tc>
          <w:tcPr>
            <w:tcW w:w="1066"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1059"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127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39.936151</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 xml:space="preserve">     </w:t>
            </w:r>
            <w:bookmarkStart w:id="0" w:name="_GoBack"/>
            <w:bookmarkEnd w:id="0"/>
            <w:r>
              <w:rPr>
                <w:rFonts w:hint="eastAsia" w:ascii="宋体" w:hAnsi="宋体" w:cs="宋体"/>
                <w:kern w:val="0"/>
                <w:sz w:val="18"/>
                <w:szCs w:val="18"/>
              </w:rPr>
              <w:t>上年结转资金</w:t>
            </w:r>
          </w:p>
        </w:tc>
        <w:tc>
          <w:tcPr>
            <w:tcW w:w="106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278"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3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60"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 xml:space="preserve">  其他资金</w:t>
            </w:r>
          </w:p>
        </w:tc>
        <w:tc>
          <w:tcPr>
            <w:tcW w:w="106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278"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76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预期目标</w:t>
            </w:r>
          </w:p>
        </w:tc>
        <w:tc>
          <w:tcPr>
            <w:tcW w:w="3584"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2616"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766" w:type="dxa"/>
            <w:gridSpan w:val="5"/>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根据《北京市水务局关于印发河长制湖长制工作奖补资金项目管理暂行办法细则的通知》（京河长办【2020】13号），为加强辖区内环境治理及管护，计划使用2022年北京市河长制工作补助项目资金开展</w:t>
            </w:r>
            <w:r>
              <w:rPr>
                <w:rFonts w:hint="eastAsia" w:ascii="宋体" w:hAnsi="宋体" w:cs="宋体"/>
                <w:kern w:val="0"/>
                <w:sz w:val="18"/>
                <w:szCs w:val="18"/>
                <w:lang w:val="en-US" w:eastAsia="zh-CN"/>
              </w:rPr>
              <w:t>通州区小中河巡河路维修、中坝河堤顶路安全保障设施修缮、中坝河堤顶路潞维修、中坝河部分河段河底芦苇和菖蒲清理管护</w:t>
            </w:r>
            <w:r>
              <w:rPr>
                <w:rFonts w:hint="eastAsia" w:ascii="宋体" w:hAnsi="宋体" w:cs="宋体"/>
                <w:kern w:val="0"/>
                <w:sz w:val="18"/>
                <w:szCs w:val="18"/>
              </w:rPr>
              <w:t>等工作。</w:t>
            </w:r>
          </w:p>
        </w:tc>
        <w:tc>
          <w:tcPr>
            <w:tcW w:w="3584" w:type="dxa"/>
            <w:gridSpan w:val="7"/>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rPr>
              <w:t>完成</w:t>
            </w:r>
            <w:r>
              <w:rPr>
                <w:rFonts w:hint="eastAsia" w:ascii="宋体" w:hAnsi="宋体" w:cs="宋体"/>
                <w:kern w:val="0"/>
                <w:sz w:val="18"/>
                <w:szCs w:val="18"/>
                <w:lang w:val="en-US" w:eastAsia="zh-CN"/>
              </w:rPr>
              <w:t>小中河巡河路硬化混凝土路面315平方米，坡面护砌50平方米。中坝河堤顶路安装带锁阻车桩8跟，停车指示牌2个，右转向指示标2个。中坝河堤顶路维修，堤顶碎石路维修206米，路两侧混凝土路缘石360米，边坡排水槽3座。中坝河沟渠庄桥至丛林庄园段和平港沟入中坝河内的芦苇和菖蒲进行割除、清理和运输，清理打捞水面漂浮物。</w:t>
            </w:r>
          </w:p>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51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781"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118"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二级指标</w:t>
            </w: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三级指标</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w:t>
            </w:r>
          </w:p>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指标值</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实际</w:t>
            </w:r>
          </w:p>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分值</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得分</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118"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数量指标</w:t>
            </w: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硬化混凝土路面</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315平方米</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315平方米</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27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坡面护砌</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50平方米</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50平方米</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264"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阻车桩</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8根</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8根</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28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停车指示牌</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2个</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2个</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32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碎石路维修</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lang w:val="en-US" w:eastAsia="zh-CN"/>
              </w:rPr>
            </w:pPr>
            <w:r>
              <w:rPr>
                <w:rFonts w:hint="eastAsia" w:ascii="宋体" w:hAnsi="宋体" w:cs="宋体"/>
                <w:kern w:val="0"/>
                <w:sz w:val="18"/>
                <w:szCs w:val="18"/>
                <w:lang w:val="en-US" w:eastAsia="zh-CN"/>
              </w:rPr>
              <w:t>206米</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lang w:val="en-US" w:eastAsia="zh-CN"/>
              </w:rPr>
              <w:t>206米</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32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路缘石</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360米</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360米</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322"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排水槽</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3座</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3座</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6</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610"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8"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清理菖蒲芦苇、清理河道漂浮物</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50000平方米</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50000平方米</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8</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8</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1399"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118" w:type="dxa"/>
            <w:tcBorders>
              <w:top w:val="nil"/>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社会效益</w:t>
            </w:r>
          </w:p>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指标</w:t>
            </w: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宋体" w:hAnsi="宋体" w:cs="宋体"/>
                <w:kern w:val="0"/>
                <w:sz w:val="18"/>
                <w:szCs w:val="18"/>
                <w:lang w:val="en-US" w:eastAsia="zh-CN"/>
              </w:rPr>
            </w:pPr>
            <w:r>
              <w:rPr>
                <w:rFonts w:hint="eastAsia" w:ascii="宋体" w:hAnsi="宋体" w:cs="宋体"/>
                <w:kern w:val="0"/>
                <w:sz w:val="18"/>
                <w:szCs w:val="18"/>
                <w:lang w:val="en-US" w:eastAsia="zh-CN"/>
              </w:rPr>
              <w:t>改善河道</w:t>
            </w:r>
            <w:r>
              <w:rPr>
                <w:rFonts w:hint="eastAsia" w:ascii="宋体" w:hAnsi="宋体" w:cs="宋体"/>
                <w:kern w:val="0"/>
                <w:sz w:val="18"/>
                <w:szCs w:val="18"/>
              </w:rPr>
              <w:t>水环境</w:t>
            </w:r>
            <w:r>
              <w:rPr>
                <w:rFonts w:hint="eastAsia" w:ascii="宋体" w:hAnsi="宋体" w:cs="宋体"/>
                <w:kern w:val="0"/>
                <w:sz w:val="18"/>
                <w:szCs w:val="18"/>
                <w:lang w:eastAsia="zh-CN"/>
              </w:rPr>
              <w:t>、</w:t>
            </w:r>
            <w:r>
              <w:rPr>
                <w:rFonts w:hint="eastAsia" w:ascii="宋体" w:hAnsi="宋体" w:cs="宋体"/>
                <w:kern w:val="0"/>
                <w:sz w:val="18"/>
                <w:szCs w:val="18"/>
                <w:lang w:val="en-US" w:eastAsia="zh-CN"/>
              </w:rPr>
              <w:t>方便居民出行、消除冬季火灾隐患、保障河道行洪能力</w:t>
            </w:r>
          </w:p>
        </w:tc>
        <w:tc>
          <w:tcPr>
            <w:tcW w:w="1059"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优</w:t>
            </w:r>
          </w:p>
        </w:tc>
        <w:tc>
          <w:tcPr>
            <w:tcW w:w="1076" w:type="dxa"/>
            <w:tcBorders>
              <w:top w:val="nil"/>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30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81"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11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服务对象满意度指标</w:t>
            </w:r>
          </w:p>
        </w:tc>
        <w:tc>
          <w:tcPr>
            <w:tcW w:w="1808"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周边居民满意度</w:t>
            </w:r>
          </w:p>
        </w:tc>
        <w:tc>
          <w:tcPr>
            <w:tcW w:w="10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9</w:t>
            </w:r>
            <w:r>
              <w:rPr>
                <w:rFonts w:hint="eastAsia" w:ascii="宋体" w:hAnsi="宋体" w:cs="宋体"/>
                <w:kern w:val="0"/>
                <w:sz w:val="18"/>
                <w:szCs w:val="18"/>
                <w:lang w:val="en-US" w:eastAsia="zh-CN"/>
              </w:rPr>
              <w:t>5</w:t>
            </w:r>
            <w:r>
              <w:rPr>
                <w:rFonts w:hint="eastAsia" w:ascii="宋体" w:hAnsi="宋体" w:cs="宋体"/>
                <w:kern w:val="0"/>
                <w:sz w:val="18"/>
                <w:szCs w:val="18"/>
              </w:rPr>
              <w:t>%</w:t>
            </w:r>
          </w:p>
        </w:tc>
        <w:tc>
          <w:tcPr>
            <w:tcW w:w="1076"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9</w:t>
            </w:r>
            <w:r>
              <w:rPr>
                <w:rFonts w:hint="eastAsia" w:ascii="宋体" w:hAnsi="宋体" w:cs="宋体"/>
                <w:kern w:val="0"/>
                <w:sz w:val="18"/>
                <w:szCs w:val="18"/>
                <w:lang w:val="en-US" w:eastAsia="zh-CN"/>
              </w:rPr>
              <w:t>5</w:t>
            </w:r>
            <w:r>
              <w:rPr>
                <w:rFonts w:hint="eastAsia" w:ascii="宋体" w:hAnsi="宋体" w:cs="宋体"/>
                <w:kern w:val="0"/>
                <w:sz w:val="18"/>
                <w:szCs w:val="18"/>
              </w:rPr>
              <w:t>%</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7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6420" w:type="dxa"/>
            <w:gridSpan w:val="7"/>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pPr>
        <w:widowControl/>
        <w:spacing w:line="480" w:lineRule="exact"/>
        <w:ind w:firstLine="440" w:firstLineChars="200"/>
        <w:jc w:val="left"/>
        <w:outlineLvl w:val="0"/>
        <w:rPr>
          <w:rFonts w:ascii="宋体" w:hAnsi="宋体" w:cs="宋体"/>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jZDE0MmVkNzYyMTY2OWY5ZTFjMTMwMWI4MjAzNmUifQ=="/>
  </w:docVars>
  <w:rsids>
    <w:rsidRoot w:val="00A0138A"/>
    <w:rsid w:val="00314611"/>
    <w:rsid w:val="004A2204"/>
    <w:rsid w:val="004A4461"/>
    <w:rsid w:val="005C68DE"/>
    <w:rsid w:val="00761785"/>
    <w:rsid w:val="00A0138A"/>
    <w:rsid w:val="00A03CFE"/>
    <w:rsid w:val="00C909A4"/>
    <w:rsid w:val="00DA4FB0"/>
    <w:rsid w:val="00ED5830"/>
    <w:rsid w:val="04385C4C"/>
    <w:rsid w:val="162D330C"/>
    <w:rsid w:val="1C113100"/>
    <w:rsid w:val="210E677D"/>
    <w:rsid w:val="326F1422"/>
    <w:rsid w:val="350C41E8"/>
    <w:rsid w:val="396D0A09"/>
    <w:rsid w:val="3D43381C"/>
    <w:rsid w:val="499F0DB5"/>
    <w:rsid w:val="53BF432D"/>
    <w:rsid w:val="55960ABE"/>
    <w:rsid w:val="68212488"/>
    <w:rsid w:val="719E4D08"/>
    <w:rsid w:val="74237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autoRedefine/>
    <w:semiHidden/>
    <w:unhideWhenUsed/>
    <w:qFormat/>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1"/>
    <w:autoRedefine/>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1328</Characters>
  <Lines>11</Lines>
  <Paragraphs>3</Paragraphs>
  <TotalTime>0</TotalTime>
  <ScaleCrop>false</ScaleCrop>
  <LinksUpToDate>false</LinksUpToDate>
  <CharactersWithSpaces>1557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2024-04-23T08:33:15Z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B318D8164E734657B1CEB34239BDEF9B_13</vt:lpwstr>
  </property>
</Properties>
</file>